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40BE" w14:textId="77777777" w:rsidR="0053613F" w:rsidRDefault="0053613F" w:rsidP="0053613F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5C6D79AF" w14:textId="77777777" w:rsidR="0053613F" w:rsidRPr="00542AEF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6EE22568" w14:textId="77777777" w:rsidR="0053613F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74C20A21" w14:textId="77777777" w:rsidR="0053613F" w:rsidRPr="00613D69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530B7DDC" w14:textId="77777777" w:rsidR="0053613F" w:rsidRPr="00613D69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7AE85415" w14:textId="77777777" w:rsidR="0053613F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3DEEB0CD" w14:textId="77777777" w:rsidR="0053613F" w:rsidRPr="00FA57F9" w:rsidRDefault="0053613F" w:rsidP="0053613F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Funivie Pinzolo </w:t>
      </w:r>
      <w:r w:rsidRPr="00FA57F9">
        <w:rPr>
          <w:b/>
          <w:bCs/>
          <w:color w:val="FF0000"/>
          <w:sz w:val="56"/>
          <w:szCs w:val="56"/>
        </w:rPr>
        <w:t>s.p.a.</w:t>
      </w:r>
    </w:p>
    <w:p w14:paraId="09017607" w14:textId="77777777" w:rsidR="0053613F" w:rsidRPr="003F78F6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18199DF2" w14:textId="77777777" w:rsidR="0053613F" w:rsidRDefault="0053613F" w:rsidP="0053613F"/>
    <w:p w14:paraId="29CD179F" w14:textId="77777777" w:rsidR="0053613F" w:rsidRDefault="0053613F" w:rsidP="0053613F"/>
    <w:p w14:paraId="3C0FE5E9" w14:textId="77777777" w:rsidR="0053613F" w:rsidRPr="00722551" w:rsidRDefault="0053613F" w:rsidP="0053613F"/>
    <w:p w14:paraId="48F3E97F" w14:textId="77777777" w:rsidR="0053613F" w:rsidRPr="003B3437" w:rsidRDefault="0053613F" w:rsidP="0053613F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50517C69" w14:textId="77777777" w:rsidR="0053613F" w:rsidRDefault="0053613F" w:rsidP="0053613F">
      <w:r>
        <w:br w:type="page"/>
      </w:r>
    </w:p>
    <w:p w14:paraId="611EA8BA" w14:textId="77777777" w:rsidR="0053613F" w:rsidRPr="000E7B2F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53613F" w:rsidRPr="00283CA1" w14:paraId="25DB77D9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03BC694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403E01E5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4BF1780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F91888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D2EEAC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00180360224</w:t>
            </w:r>
          </w:p>
        </w:tc>
      </w:tr>
      <w:tr w:rsidR="0053613F" w:rsidRPr="00283CA1" w14:paraId="72BBFFD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996BD6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6ECBA8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FUNIVIE PINZOLO SPA</w:t>
            </w:r>
          </w:p>
        </w:tc>
      </w:tr>
      <w:tr w:rsidR="0053613F" w:rsidRPr="00283CA1" w14:paraId="3F9C6DB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53BE3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4B42FD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1968</w:t>
            </w:r>
          </w:p>
        </w:tc>
      </w:tr>
      <w:tr w:rsidR="0053613F" w:rsidRPr="00283CA1" w14:paraId="3B8E0D2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F294C2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E5B9C7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53613F" w:rsidRPr="00283CA1" w14:paraId="38EB401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39B19B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03629B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53613F" w:rsidRPr="00283CA1" w14:paraId="4CEDD38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405F6A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3D3BC5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4DAC54E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AD91ED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681D3E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53613F" w:rsidRPr="00283CA1" w14:paraId="4F471CA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74152D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014F6A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55CF689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6228D5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695A45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10C4CD55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0EB41E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C4C938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5F1AC36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905F23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4294A7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0530A937" w14:textId="77777777" w:rsidTr="009A3EB5">
        <w:trPr>
          <w:cantSplit/>
          <w:trHeight w:val="5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0C7DA4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>La società è una “Società benefit”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 xml:space="preserve"> (</w:t>
            </w:r>
            <w:proofErr w:type="gramStart"/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3)</w:t>
            </w:r>
            <w:bookmarkStart w:id="0" w:name="_Hlk150786473"/>
            <w:r w:rsidRPr="00283CA1">
              <w:rPr>
                <w:rFonts w:cs="Calibri"/>
                <w:b/>
                <w:color w:val="00B0F0"/>
                <w:vertAlign w:val="superscript"/>
              </w:rPr>
              <w:t>§</w:t>
            </w:r>
            <w:bookmarkEnd w:id="0"/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E0EB489" w14:textId="77777777" w:rsidR="0053613F" w:rsidRPr="00296D79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36D8545C" w14:textId="77777777" w:rsidR="0053613F" w:rsidRPr="00532F26" w:rsidRDefault="0053613F" w:rsidP="0053613F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 xml:space="preserve">Compilare solo se nel campo “stato di attività della partecipata” è stato indicato che </w:t>
      </w:r>
      <w:bookmarkStart w:id="1" w:name="_Hlk85540376"/>
      <w:r w:rsidRPr="00532F26">
        <w:rPr>
          <w:sz w:val="18"/>
          <w:szCs w:val="18"/>
        </w:rPr>
        <w:t xml:space="preserve">sono in corso procedure di liquidazione oppure procedure concorsuali. </w:t>
      </w:r>
    </w:p>
    <w:bookmarkEnd w:id="1"/>
    <w:p w14:paraId="24291BCD" w14:textId="77777777" w:rsidR="0053613F" w:rsidRDefault="0053613F" w:rsidP="0053613F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 xml:space="preserve">Nell’applicativo le società con azioni quotate e quelle emittenti strumenti finanziari quotati in mercati regolamentati </w:t>
      </w:r>
      <w:bookmarkStart w:id="2" w:name="_Hlk85622956"/>
      <w:r w:rsidRPr="00532F26">
        <w:rPr>
          <w:sz w:val="18"/>
          <w:szCs w:val="18"/>
        </w:rPr>
        <w:t>(“società quotate ex TUSP”</w:t>
      </w:r>
      <w:bookmarkEnd w:id="2"/>
      <w:r w:rsidRPr="00532F26">
        <w:rPr>
          <w:sz w:val="18"/>
          <w:szCs w:val="18"/>
        </w:rPr>
        <w:t>) e i Gruppi di Azione Locale (GAL) sono individuati mediante elenchi ufficiali.</w:t>
      </w:r>
    </w:p>
    <w:p w14:paraId="581C3ACC" w14:textId="77777777" w:rsidR="0053613F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</w:t>
      </w:r>
      <w:smartTag w:uri="urn:schemas-microsoft-com:office:smarttags" w:element="metricconverter">
        <w:smartTagPr>
          <w:attr w:name="ProductID" w:val="384, L"/>
        </w:smartTagPr>
        <w:r w:rsidRPr="003126FE">
          <w:rPr>
            <w:rFonts w:ascii="Calibri" w:hAnsi="Calibri" w:cs="Calibri"/>
            <w:sz w:val="18"/>
          </w:rPr>
          <w:t>384, L</w:t>
        </w:r>
      </w:smartTag>
      <w:r w:rsidRPr="003126FE">
        <w:rPr>
          <w:rFonts w:ascii="Calibri" w:hAnsi="Calibri" w:cs="Calibri"/>
          <w:sz w:val="18"/>
        </w:rPr>
        <w:t>. n. 208/2015).</w:t>
      </w:r>
    </w:p>
    <w:p w14:paraId="4E088E35" w14:textId="77777777" w:rsidR="0053613F" w:rsidRPr="009B6791" w:rsidRDefault="0053613F" w:rsidP="0053613F">
      <w:pPr>
        <w:pStyle w:val="Paragrafoelenco"/>
        <w:tabs>
          <w:tab w:val="left" w:pos="6360"/>
        </w:tabs>
        <w:spacing w:before="0" w:after="0"/>
        <w:ind w:left="0"/>
        <w:rPr>
          <w:rFonts w:ascii="Calibri" w:hAnsi="Calibri"/>
          <w:sz w:val="24"/>
          <w:szCs w:val="24"/>
        </w:rPr>
      </w:pPr>
      <w:r w:rsidRPr="00776CB3">
        <w:rPr>
          <w:rFonts w:cs="Calibri"/>
          <w:b/>
          <w:color w:val="00B0F0"/>
          <w:vertAlign w:val="superscript"/>
        </w:rPr>
        <w:t>§</w:t>
      </w:r>
      <w:bookmarkStart w:id="3" w:name="_Hlk150783895"/>
      <w:r w:rsidRPr="009B6791">
        <w:rPr>
          <w:rFonts w:ascii="Calibri" w:hAnsi="Calibri"/>
          <w:sz w:val="18"/>
          <w:szCs w:val="18"/>
        </w:rPr>
        <w:t>Nuovo campo rispetto alla rilevazione precedente</w:t>
      </w:r>
      <w:bookmarkEnd w:id="3"/>
      <w:r w:rsidRPr="009B6791">
        <w:rPr>
          <w:rFonts w:ascii="Calibri" w:hAnsi="Calibri"/>
          <w:sz w:val="18"/>
          <w:szCs w:val="18"/>
        </w:rPr>
        <w:t>.</w:t>
      </w:r>
    </w:p>
    <w:p w14:paraId="394468E3" w14:textId="77777777" w:rsidR="0053613F" w:rsidRPr="00E92699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53613F" w:rsidRPr="00283CA1" w14:paraId="5E267628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107899F2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DB68558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644A13A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48FB9A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8D2A67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53613F" w:rsidRPr="00283CA1" w14:paraId="257B0ED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8E0CC6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0D6F7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53613F" w:rsidRPr="00283CA1" w14:paraId="264B1D4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CF50E5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0332CD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PINZOLO</w:t>
            </w:r>
          </w:p>
        </w:tc>
      </w:tr>
      <w:tr w:rsidR="0053613F" w:rsidRPr="00283CA1" w14:paraId="7586460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AAEEDF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3EC911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38086</w:t>
            </w:r>
          </w:p>
        </w:tc>
      </w:tr>
      <w:tr w:rsidR="0053613F" w:rsidRPr="00283CA1" w14:paraId="02F6F4A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B39DA0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56F1EA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VIA BOLOGNINI, 84</w:t>
            </w:r>
          </w:p>
        </w:tc>
      </w:tr>
      <w:tr w:rsidR="0053613F" w:rsidRPr="00283CA1" w14:paraId="17463B3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713C52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C7ECB3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0465/501256</w:t>
            </w:r>
          </w:p>
        </w:tc>
      </w:tr>
      <w:tr w:rsidR="0053613F" w:rsidRPr="00283CA1" w14:paraId="4752C88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C59B49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87122D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0465/503585</w:t>
            </w:r>
          </w:p>
        </w:tc>
      </w:tr>
      <w:tr w:rsidR="0053613F" w:rsidRPr="00283CA1" w14:paraId="5C07A1F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DE4D4B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EC238B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amministrazione@funiviepinzolo.it</w:t>
            </w:r>
          </w:p>
        </w:tc>
      </w:tr>
    </w:tbl>
    <w:p w14:paraId="2BDCA159" w14:textId="77777777" w:rsidR="0053613F" w:rsidRDefault="0053613F" w:rsidP="0053613F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4A26A467" w14:textId="77777777" w:rsidR="0053613F" w:rsidRPr="00DB510D" w:rsidRDefault="0053613F" w:rsidP="0053613F">
      <w:pPr>
        <w:rPr>
          <w:b/>
          <w:u w:val="single"/>
        </w:rPr>
      </w:pPr>
    </w:p>
    <w:p w14:paraId="477DF1CA" w14:textId="77777777" w:rsidR="0053613F" w:rsidRPr="00E92699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45B19B37" w14:textId="77777777" w:rsidR="0053613F" w:rsidRDefault="0053613F" w:rsidP="0053613F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99C55BC" w14:textId="77777777" w:rsidR="0053613F" w:rsidRPr="00613D69" w:rsidRDefault="0053613F" w:rsidP="0053613F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5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53613F" w:rsidRPr="00283CA1" w14:paraId="1DADDF79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D91F573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338202B0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14428F8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2EE0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851C6C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49.39.01 Gestione di funicolari, skilift e seggiovie se non facenti parte dei sistemi di transito urbano o sub urbano.</w:t>
            </w:r>
          </w:p>
        </w:tc>
      </w:tr>
      <w:tr w:rsidR="0053613F" w:rsidRPr="00283CA1" w14:paraId="574D1CD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889682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A6DF49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1CEC1003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57879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CF8B95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0F054DA9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72EF3D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F4E6F0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9810D22" w14:textId="77777777" w:rsidR="0053613F" w:rsidRPr="00563248" w:rsidRDefault="0053613F" w:rsidP="0053613F">
      <w:pPr>
        <w:rPr>
          <w:b/>
          <w:u w:val="single"/>
        </w:rPr>
      </w:pPr>
    </w:p>
    <w:p w14:paraId="46E1A8CB" w14:textId="77777777" w:rsidR="0053613F" w:rsidRDefault="0053613F" w:rsidP="0053613F">
      <w:pPr>
        <w:rPr>
          <w:u w:val="single"/>
        </w:rPr>
      </w:pPr>
      <w:r>
        <w:rPr>
          <w:u w:val="single"/>
        </w:rPr>
        <w:lastRenderedPageBreak/>
        <w:br w:type="page"/>
      </w:r>
    </w:p>
    <w:p w14:paraId="5A154C9C" w14:textId="77777777" w:rsidR="0053613F" w:rsidRPr="008D4D7F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53613F" w:rsidRPr="00283CA1" w14:paraId="0CF6DCE6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7E28E6D7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22CD513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6143D65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85105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CD1A21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no</w:t>
            </w:r>
          </w:p>
        </w:tc>
      </w:tr>
      <w:tr w:rsidR="0053613F" w:rsidRPr="00283CA1" w14:paraId="11C9126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281E7B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A284A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74863AE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9D4E32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71BE75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101C547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C8EDBB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F905BB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09FAB8A0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9E0A41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A0481F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326ACB4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2898812" w14:textId="77777777" w:rsidR="0053613F" w:rsidRPr="00283CA1" w:rsidDel="00A93B10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136125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25F0ACB1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045E2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09D847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53613F" w:rsidRPr="00283CA1" w14:paraId="36DA19C2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D1DD0C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DE366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076B788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81B097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047A40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3978F99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0FCB06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9096BC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710B6A65" w14:textId="77777777" w:rsidR="0053613F" w:rsidRPr="008D4D7F" w:rsidRDefault="0053613F" w:rsidP="0053613F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4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4"/>
    <w:p w14:paraId="5DFD9768" w14:textId="77777777" w:rsidR="0053613F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64A64E37" w14:textId="77777777" w:rsidR="0053613F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5B138139" w14:textId="77777777" w:rsidR="0053613F" w:rsidRDefault="0053613F" w:rsidP="0053613F">
      <w:pPr>
        <w:tabs>
          <w:tab w:val="left" w:pos="357"/>
        </w:tabs>
        <w:spacing w:after="0"/>
        <w:jc w:val="both"/>
        <w:rPr>
          <w:sz w:val="18"/>
          <w:szCs w:val="20"/>
        </w:rPr>
      </w:pPr>
      <w:bookmarkStart w:id="5" w:name="_Hlk150782885"/>
      <w:r>
        <w:rPr>
          <w:color w:val="FF0000"/>
          <w:vertAlign w:val="superscript"/>
        </w:rPr>
        <w:t>#</w:t>
      </w:r>
      <w:bookmarkStart w:id="6" w:name="_Hlk85622832"/>
      <w:bookmarkEnd w:id="5"/>
      <w:r w:rsidRPr="007B2FB0">
        <w:rPr>
          <w:sz w:val="18"/>
          <w:szCs w:val="20"/>
        </w:rPr>
        <w:t xml:space="preserve">Per la nozione </w:t>
      </w:r>
      <w:bookmarkEnd w:id="6"/>
      <w:r w:rsidRPr="007B2FB0">
        <w:rPr>
          <w:sz w:val="18"/>
          <w:szCs w:val="20"/>
        </w:rPr>
        <w:t xml:space="preserve">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16516178" w14:textId="77777777" w:rsidR="0053613F" w:rsidRDefault="0053613F" w:rsidP="0053613F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6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4B14F270" w14:textId="77777777" w:rsidR="0053613F" w:rsidRPr="00174D13" w:rsidRDefault="0053613F" w:rsidP="0053613F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7DA59537" w14:textId="77777777" w:rsidR="0053613F" w:rsidRDefault="0053613F" w:rsidP="0053613F">
      <w:pPr>
        <w:rPr>
          <w:rStyle w:val="Collegamentoipertestuale"/>
          <w:sz w:val="18"/>
          <w:szCs w:val="20"/>
        </w:rPr>
      </w:pPr>
    </w:p>
    <w:p w14:paraId="545A59B6" w14:textId="77777777" w:rsidR="0053613F" w:rsidRPr="007B2FB0" w:rsidRDefault="0053613F" w:rsidP="0053613F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29308957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53613F" w:rsidRPr="00283CA1" w14:paraId="62832389" w14:textId="77777777" w:rsidTr="009A3EB5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46118980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9D4C480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53613F" w:rsidRPr="00283CA1" w14:paraId="55EAAE2F" w14:textId="77777777" w:rsidTr="009A3EB5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BF7321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E6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53613F" w:rsidRPr="00283CA1" w14:paraId="7509299D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7291B9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38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54,50</w:t>
            </w:r>
          </w:p>
        </w:tc>
      </w:tr>
      <w:tr w:rsidR="0053613F" w:rsidRPr="00283CA1" w14:paraId="6B61C585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B8E642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FE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11</w:t>
            </w:r>
          </w:p>
        </w:tc>
      </w:tr>
      <w:tr w:rsidR="0053613F" w:rsidRPr="00283CA1" w14:paraId="64F7A2E5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0E374A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5E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 xml:space="preserve">80.000 </w:t>
            </w:r>
          </w:p>
        </w:tc>
      </w:tr>
      <w:tr w:rsidR="0053613F" w:rsidRPr="00283CA1" w14:paraId="5E5A7870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31079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12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53613F" w:rsidRPr="00283CA1" w14:paraId="38BACA1F" w14:textId="77777777" w:rsidTr="009A3EB5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FCB3BB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CA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18889,52</w:t>
            </w:r>
          </w:p>
        </w:tc>
      </w:tr>
    </w:tbl>
    <w:p w14:paraId="70E8DB7A" w14:textId="77777777" w:rsidR="0053613F" w:rsidRDefault="0053613F" w:rsidP="0053613F"/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9"/>
        <w:gridCol w:w="1217"/>
        <w:gridCol w:w="1221"/>
      </w:tblGrid>
      <w:tr w:rsidR="0053613F" w:rsidRPr="00283CA1" w14:paraId="7C504435" w14:textId="77777777" w:rsidTr="009A3EB5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3038DDD1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0A27691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43AB51C5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E6CDC25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5146284B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0B84AF93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53613F" w:rsidRPr="00283CA1" w14:paraId="438F1FB0" w14:textId="77777777" w:rsidTr="009A3EB5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E55B31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3B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97FEB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134DA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497E39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20276A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53613F" w:rsidRPr="00283CA1" w14:paraId="4EDB0556" w14:textId="77777777" w:rsidTr="009A3EB5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4BF8B2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972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1.285.833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F94DB2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1.489.254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CA74A6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-115.524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8DEC50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728.886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38CB4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903.713</w:t>
            </w:r>
          </w:p>
        </w:tc>
      </w:tr>
    </w:tbl>
    <w:p w14:paraId="436883F7" w14:textId="77777777" w:rsidR="0053613F" w:rsidRPr="008D4D7F" w:rsidRDefault="0053613F" w:rsidP="0053613F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1B9B7EC3" w14:textId="77777777" w:rsidR="0053613F" w:rsidRDefault="0053613F" w:rsidP="0053613F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375AC520" w14:textId="77777777" w:rsidR="0053613F" w:rsidRPr="00613D69" w:rsidRDefault="0053613F" w:rsidP="0053613F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30491EA3" w14:textId="77777777" w:rsidR="0053613F" w:rsidRDefault="0053613F" w:rsidP="0053613F">
      <w:pPr>
        <w:rPr>
          <w:rFonts w:cs="Calibri"/>
          <w:b/>
        </w:rPr>
      </w:pPr>
    </w:p>
    <w:p w14:paraId="00292E08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46D7A214" w14:textId="77777777" w:rsidR="0053613F" w:rsidRPr="00613D69" w:rsidRDefault="0053613F" w:rsidP="0053613F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53613F" w:rsidRPr="00283CA1" w14:paraId="6E03B78D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971A372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7982DE5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  <w:highlight w:val="yellow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24259019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5015C3C2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53613F" w:rsidRPr="00283CA1" w14:paraId="68EA8AE2" w14:textId="77777777" w:rsidTr="009A3EB5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FA5806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C3B7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283CA1">
              <w:rPr>
                <w:sz w:val="18"/>
                <w:szCs w:val="18"/>
              </w:rPr>
              <w:t>12.165.255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438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9.314.252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AFC8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665.979</w:t>
            </w:r>
          </w:p>
        </w:tc>
      </w:tr>
      <w:tr w:rsidR="0053613F" w:rsidRPr="00283CA1" w14:paraId="08D02881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8DEEA6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7C5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283CA1">
              <w:rPr>
                <w:sz w:val="18"/>
                <w:szCs w:val="18"/>
              </w:rPr>
              <w:t>3.102.828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80A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1.166.438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1FD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3.884.151</w:t>
            </w:r>
          </w:p>
        </w:tc>
      </w:tr>
      <w:tr w:rsidR="0053613F" w:rsidRPr="00283CA1" w14:paraId="1B695019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4AE9E6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92F7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283CA1">
              <w:rPr>
                <w:sz w:val="18"/>
                <w:szCs w:val="18"/>
              </w:rPr>
              <w:t>325.158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FA0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251.509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B6C" w14:textId="77777777" w:rsidR="0053613F" w:rsidRPr="00283CA1" w:rsidRDefault="0053613F" w:rsidP="009A3EB5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3.532.625</w:t>
            </w:r>
          </w:p>
        </w:tc>
      </w:tr>
    </w:tbl>
    <w:p w14:paraId="32329BF6" w14:textId="77777777" w:rsidR="0053613F" w:rsidRDefault="0053613F" w:rsidP="0053613F">
      <w:pPr>
        <w:rPr>
          <w:sz w:val="24"/>
          <w:szCs w:val="20"/>
        </w:rPr>
      </w:pPr>
    </w:p>
    <w:p w14:paraId="5A95EDC7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44CFDB16" w14:textId="77777777" w:rsidR="0053613F" w:rsidRPr="00613D69" w:rsidRDefault="0053613F" w:rsidP="0053613F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53613F" w:rsidRPr="00283CA1" w14:paraId="7F2DD4D9" w14:textId="77777777" w:rsidTr="009A3EB5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514B521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675A089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99C70D3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61A12C50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53613F" w:rsidRPr="00283CA1" w14:paraId="1C0EA46E" w14:textId="77777777" w:rsidTr="009A3EB5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C4B763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068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F763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4DE3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378ECE65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8C6D4D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535A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A698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BA5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256BAAA9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C90D04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0F5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D8EF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22C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0A8CC258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E7EE5C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2C3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0C2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E39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3B56A6E2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508511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56D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56D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D5F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096ADAE7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64D0FFC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EEE4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173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C7B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144E8136" w14:textId="77777777" w:rsidTr="009A3EB5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35C8D9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9C6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894E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039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2BFBAAD" w14:textId="77777777" w:rsidR="0053613F" w:rsidRDefault="0053613F" w:rsidP="0053613F">
      <w:r>
        <w:br w:type="page"/>
      </w:r>
    </w:p>
    <w:p w14:paraId="30695252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5387D49A" w14:textId="77777777" w:rsidR="0053613F" w:rsidRPr="00613D69" w:rsidRDefault="0053613F" w:rsidP="0053613F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4902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3"/>
        <w:gridCol w:w="1831"/>
        <w:gridCol w:w="1638"/>
        <w:gridCol w:w="1637"/>
      </w:tblGrid>
      <w:tr w:rsidR="0053613F" w:rsidRPr="00283CA1" w14:paraId="73B7E44D" w14:textId="77777777" w:rsidTr="009A3EB5">
        <w:trPr>
          <w:cantSplit/>
          <w:trHeight w:val="249"/>
        </w:trPr>
        <w:tc>
          <w:tcPr>
            <w:tcW w:w="2298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CF3F65C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6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63ED5CD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39D0405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67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79B018E4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53613F" w:rsidRPr="00283CA1" w14:paraId="21202F11" w14:textId="77777777" w:rsidTr="009A3EB5">
        <w:trPr>
          <w:cantSplit/>
          <w:trHeight w:val="251"/>
        </w:trPr>
        <w:tc>
          <w:tcPr>
            <w:tcW w:w="22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0BE596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BE5F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1E25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7744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3613F" w:rsidRPr="00283CA1" w14:paraId="72F202C1" w14:textId="77777777" w:rsidTr="009A3EB5">
        <w:trPr>
          <w:cantSplit/>
          <w:trHeight w:val="251"/>
        </w:trPr>
        <w:tc>
          <w:tcPr>
            <w:tcW w:w="2298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ABA5DF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AED1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327D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F7A" w14:textId="77777777" w:rsidR="0053613F" w:rsidRPr="00283CA1" w:rsidRDefault="0053613F" w:rsidP="009A3EB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960947B" w14:textId="77777777" w:rsidR="0053613F" w:rsidRDefault="0053613F" w:rsidP="0053613F">
      <w:pPr>
        <w:rPr>
          <w:sz w:val="24"/>
          <w:szCs w:val="20"/>
        </w:rPr>
      </w:pPr>
    </w:p>
    <w:p w14:paraId="192D21F4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737C5D5D" w14:textId="77777777" w:rsidR="0053613F" w:rsidRPr="00613D69" w:rsidRDefault="0053613F" w:rsidP="0053613F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53613F" w:rsidRPr="00283CA1" w14:paraId="097F1DB6" w14:textId="77777777" w:rsidTr="009A3EB5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5169CD1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F8AC448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998ED81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ADC1E32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53613F" w:rsidRPr="00283CA1" w14:paraId="77C14708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CA395C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1C8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262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7C38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53613F" w:rsidRPr="00283CA1" w14:paraId="27F32C86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CCF042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F5E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E00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292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53613F" w:rsidRPr="00283CA1" w14:paraId="7336FDC2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6FFD03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F63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0AD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107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</w:tr>
      <w:tr w:rsidR="0053613F" w:rsidRPr="00283CA1" w14:paraId="69B8C506" w14:textId="77777777" w:rsidTr="009A3EB5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FB201F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919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D2D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0ED" w14:textId="77777777" w:rsidR="0053613F" w:rsidRPr="00283CA1" w:rsidRDefault="0053613F" w:rsidP="009A3EB5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06B6878" w14:textId="77777777" w:rsidR="0053613F" w:rsidRDefault="0053613F" w:rsidP="0053613F">
      <w:pPr>
        <w:rPr>
          <w:sz w:val="24"/>
          <w:szCs w:val="20"/>
        </w:rPr>
      </w:pPr>
    </w:p>
    <w:p w14:paraId="6393B602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53613F" w:rsidRPr="00283CA1" w14:paraId="3998332B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34BA52A7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B01A808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7D15778B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EEFC0A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EBDA95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sz w:val="18"/>
                <w:szCs w:val="18"/>
              </w:rPr>
            </w:pPr>
            <w:r w:rsidRPr="00283CA1">
              <w:rPr>
                <w:rFonts w:cs="Calibri"/>
                <w:iCs/>
                <w:sz w:val="18"/>
                <w:szCs w:val="18"/>
              </w:rPr>
              <w:t>Partecipazione diretta</w:t>
            </w:r>
          </w:p>
        </w:tc>
      </w:tr>
      <w:tr w:rsidR="0053613F" w:rsidRPr="00283CA1" w14:paraId="415B8A4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B97F7B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007412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sz w:val="18"/>
                <w:szCs w:val="18"/>
              </w:rPr>
            </w:pPr>
            <w:r>
              <w:rPr>
                <w:rFonts w:cs="Calibri"/>
                <w:iCs/>
                <w:sz w:val="18"/>
                <w:szCs w:val="18"/>
              </w:rPr>
              <w:t>1,89%</w:t>
            </w:r>
          </w:p>
        </w:tc>
      </w:tr>
      <w:tr w:rsidR="0053613F" w:rsidRPr="00283CA1" w14:paraId="5A21270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FD48B1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7E93EF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2F17199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4E3123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63E4CD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3357E4B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43E94BF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FDD2EC5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4DED9C84" w14:textId="77777777" w:rsidR="0053613F" w:rsidRPr="001E6AD0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2F9A469A" w14:textId="77777777" w:rsidR="0053613F" w:rsidRPr="001E6AD0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="Calibri" w:hAnsi="Calibri"/>
          <w:sz w:val="18"/>
        </w:rPr>
        <w:t>dell’ultima tramite</w:t>
      </w:r>
      <w:proofErr w:type="gramEnd"/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4C9342D5" w14:textId="77777777" w:rsidR="0053613F" w:rsidRPr="001E6AD0" w:rsidRDefault="0053613F" w:rsidP="0053613F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4877CAC2" w14:textId="77777777" w:rsidR="0053613F" w:rsidRDefault="0053613F" w:rsidP="0053613F">
      <w:pPr>
        <w:tabs>
          <w:tab w:val="left" w:pos="1140"/>
        </w:tabs>
      </w:pPr>
    </w:p>
    <w:p w14:paraId="36AA451A" w14:textId="77777777" w:rsidR="0053613F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3D29BB01" w14:textId="77777777" w:rsidR="0053613F" w:rsidRPr="00DA7D44" w:rsidRDefault="0053613F" w:rsidP="0053613F">
      <w:pPr>
        <w:spacing w:after="0" w:line="280" w:lineRule="atLeast"/>
        <w:jc w:val="both"/>
        <w:rPr>
          <w:sz w:val="20"/>
          <w:szCs w:val="24"/>
        </w:rPr>
      </w:pPr>
      <w:bookmarkStart w:id="7" w:name="_Hlk117845004"/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04F7F6ED" w14:textId="77777777" w:rsidR="0053613F" w:rsidRDefault="0053613F" w:rsidP="0053613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37C8823E" w14:textId="77777777" w:rsidR="0053613F" w:rsidRPr="009A262F" w:rsidRDefault="0053613F" w:rsidP="0053613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53613F" w:rsidRPr="00283CA1" w14:paraId="7B332B27" w14:textId="77777777" w:rsidTr="009A3EB5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bookmarkEnd w:id="7"/>
          <w:p w14:paraId="22395B71" w14:textId="77777777" w:rsidR="0053613F" w:rsidRPr="00283CA1" w:rsidRDefault="0053613F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0D75CC81" w14:textId="77777777" w:rsidR="0053613F" w:rsidRPr="00283CA1" w:rsidRDefault="0053613F" w:rsidP="009A3EB5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613F" w:rsidRPr="00283CA1" w14:paraId="66694BB2" w14:textId="77777777" w:rsidTr="009A3EB5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0B8381" w14:textId="77777777" w:rsidR="0053613F" w:rsidRPr="00283CA1" w:rsidRDefault="0053613F" w:rsidP="009A3EB5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5C0F44F" w14:textId="77777777" w:rsidR="0053613F" w:rsidRPr="00283CA1" w:rsidRDefault="0053613F" w:rsidP="009A3EB5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nessuno</w:t>
            </w:r>
          </w:p>
        </w:tc>
      </w:tr>
    </w:tbl>
    <w:p w14:paraId="7089D310" w14:textId="77777777" w:rsidR="0053613F" w:rsidRDefault="0053613F" w:rsidP="0053613F">
      <w:pPr>
        <w:jc w:val="both"/>
      </w:pPr>
      <w:bookmarkStart w:id="8" w:name="_Hlk117852838"/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7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8"/>
    <w:p w14:paraId="72730020" w14:textId="77777777" w:rsidR="0053613F" w:rsidRDefault="0053613F" w:rsidP="0053613F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40D8BA72" w14:textId="77777777" w:rsidR="0053613F" w:rsidRDefault="0053613F" w:rsidP="0053613F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557573C4" w14:textId="77777777" w:rsidR="0053613F" w:rsidRDefault="0053613F" w:rsidP="0053613F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15E70391" w14:textId="77777777" w:rsidR="0053613F" w:rsidRPr="00BB3F98" w:rsidRDefault="0053613F" w:rsidP="0053613F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53613F" w:rsidRPr="00283CA1" w14:paraId="63CC8D58" w14:textId="77777777" w:rsidTr="009A3EB5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5A809197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115E2560" w14:textId="77777777" w:rsidR="0053613F" w:rsidRPr="00283CA1" w:rsidRDefault="0053613F" w:rsidP="009A3EB5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53613F" w:rsidRPr="00283CA1" w14:paraId="61F14094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9574F0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57F5BCA" w14:textId="77777777" w:rsidR="0053613F" w:rsidRPr="00283CA1" w:rsidRDefault="0053613F" w:rsidP="009A3EB5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53613F" w:rsidRPr="00283CA1" w14:paraId="3367D774" w14:textId="77777777" w:rsidTr="009A3EB5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52B1" w14:textId="77777777" w:rsidR="0053613F" w:rsidRPr="00283CA1" w:rsidRDefault="0053613F" w:rsidP="009A3EB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6E3C43D6" w14:textId="77777777" w:rsidR="0053613F" w:rsidRPr="00283CA1" w:rsidRDefault="0053613F" w:rsidP="009A3EB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19036C8B" w14:textId="77777777" w:rsidR="0053613F" w:rsidRPr="00283CA1" w:rsidRDefault="0053613F" w:rsidP="009A3EB5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53613F" w:rsidRPr="00283CA1" w14:paraId="740B0C2E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1C1578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146CBF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53613F" w:rsidRPr="00283CA1" w14:paraId="3DA28398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6DF37E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C713247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2D74603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E9F21B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9DDCFA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4615FCC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49CAF7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A0467F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53613F" w:rsidRPr="00283CA1" w14:paraId="798D2E1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48F03A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D8D1C8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49.39.01 Gestione di funicolari, skilift e seggiovie se non facenti parte dei sistemi di transito urbano o sub urbano</w:t>
            </w:r>
          </w:p>
        </w:tc>
      </w:tr>
      <w:tr w:rsidR="0053613F" w:rsidRPr="00283CA1" w14:paraId="24A8F1F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82E965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E49EA28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3613F" w:rsidRPr="00283CA1" w14:paraId="53D43B1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057B79A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02B2FC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53613F" w:rsidRPr="00283CA1" w14:paraId="513CECFF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FEC7F49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EDBCC6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1FFBC43C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95CD65E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998A4E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1815599A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8A3E4C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28B6101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613F" w:rsidRPr="00283CA1" w14:paraId="2A3ECA77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61B348D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CBBC343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53613F" w:rsidRPr="00283CA1" w14:paraId="3B5CBCDD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5EA0B0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EB4DBB0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53613F" w:rsidRPr="00283CA1" w14:paraId="3F77CF66" w14:textId="77777777" w:rsidTr="009A3EB5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FC64086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3A6578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53613F" w:rsidRPr="00283CA1" w14:paraId="531C9B9A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25C463B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bookmarkStart w:id="9" w:name="_Hlk85109854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bookmarkEnd w:id="9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8FF3EE4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53613F" w:rsidRPr="00283CA1" w14:paraId="7A6156C3" w14:textId="77777777" w:rsidTr="009A3EB5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B8A3692" w14:textId="77777777" w:rsidR="0053613F" w:rsidRPr="00283CA1" w:rsidRDefault="0053613F" w:rsidP="009A3EB5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05C276D" w14:textId="77777777" w:rsidR="0053613F" w:rsidRPr="00283CA1" w:rsidRDefault="0053613F" w:rsidP="009A3EB5">
            <w:pPr>
              <w:spacing w:after="0" w:line="240" w:lineRule="auto"/>
              <w:jc w:val="both"/>
              <w:rPr>
                <w:rFonts w:cs="Calibri"/>
                <w:b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 xml:space="preserve">La società svolge una funzione di interesse generale per lo sviluppo economico della località oltre ad avere quale oggetto sociale e prevalente la gestione di impianti a fune per la mobilità turistico sportiva. La partecipazione è pertanto ammessa ai sensi dell'art. 4 comma 7 del </w:t>
            </w:r>
            <w:proofErr w:type="spellStart"/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 xml:space="preserve"> 175/2016. La società, in base al Piano industriale messo in atto negli anni scorsi, ha dimostrato un progressivo miglioramento del risultato di esercizio che ha portando la società, con gli investimenti dalla stessa effettuati, a riportare i bilanci in attivo a partire dall'anno 2016. Si registra una perdita di esercizio nel solo anno 2020 dovuta all’emergenza sanitaria causata dal virus Covid-19. L’anno 2021 che ha segnato la fine del periodo di emergenza sanitaria e l’inizio del periodo post pandemico, seppur con la presenza di alcune limitazioni (green pass) ha evidenziato un ritorno all’utile di esercizio. </w:t>
            </w:r>
          </w:p>
        </w:tc>
      </w:tr>
    </w:tbl>
    <w:p w14:paraId="034A72B3" w14:textId="77777777" w:rsidR="0053613F" w:rsidRPr="00BD5187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5A1EFA3E" w14:textId="77777777" w:rsidR="0053613F" w:rsidRPr="001E6AD0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717305B9" w14:textId="77777777" w:rsidR="0053613F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64AF7BF2" w14:textId="77777777" w:rsidR="0053613F" w:rsidRPr="001E6AD0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3B32E8ED" w14:textId="77777777" w:rsidR="0053613F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2B1EA929" w14:textId="77777777" w:rsidR="0053613F" w:rsidRPr="00D15E20" w:rsidRDefault="0053613F" w:rsidP="0053613F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</w:t>
      </w:r>
      <w:r w:rsidRPr="00372840">
        <w:rPr>
          <w:rFonts w:ascii="Calibri" w:hAnsi="Calibri"/>
          <w:sz w:val="18"/>
        </w:rPr>
        <w:lastRenderedPageBreak/>
        <w:t>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524C544C" w14:textId="77777777" w:rsidR="0053613F" w:rsidRPr="000A377F" w:rsidRDefault="0053613F" w:rsidP="0053613F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facoltativa.</w:t>
      </w:r>
    </w:p>
    <w:p w14:paraId="7A3115EE" w14:textId="77777777" w:rsidR="00FC01CA" w:rsidRDefault="00FC01CA"/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111FA"/>
    <w:multiLevelType w:val="hybridMultilevel"/>
    <w:tmpl w:val="5C34B21C"/>
    <w:lvl w:ilvl="0" w:tplc="7B7011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589953">
    <w:abstractNumId w:val="0"/>
  </w:num>
  <w:num w:numId="2" w16cid:durableId="42568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3F"/>
    <w:rsid w:val="00280FF0"/>
    <w:rsid w:val="0053613F"/>
    <w:rsid w:val="007C6179"/>
    <w:rsid w:val="00834E8E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CC7AEC"/>
  <w15:chartTrackingRefBased/>
  <w15:docId w15:val="{2B86376F-8BB6-4CF8-88AB-F7CC95AB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53613F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53613F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53613F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53613F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53613F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5361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2121</Words>
  <Characters>12094</Characters>
  <Application>Microsoft Office Word</Application>
  <DocSecurity>0</DocSecurity>
  <Lines>100</Lines>
  <Paragraphs>28</Paragraphs>
  <ScaleCrop>false</ScaleCrop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2024-01-24T15:47:00Z</dcterms:created>
  <dcterms:modified xsi:type="dcterms:W3CDTF">2024-01-24T15:48:00Z</dcterms:modified>
</cp:coreProperties>
</file>